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2C07" w14:textId="77777777" w:rsidR="009817F5" w:rsidRDefault="009817F5" w:rsidP="009817F5">
      <w:pPr>
        <w:pStyle w:val="LTAChapterHeading"/>
        <w:spacing w:after="0" w:line="240" w:lineRule="auto"/>
        <w:jc w:val="center"/>
        <w:rPr>
          <w:sz w:val="32"/>
          <w:szCs w:val="32"/>
        </w:rPr>
      </w:pPr>
      <w:r w:rsidRPr="00407A10">
        <w:rPr>
          <w:sz w:val="32"/>
          <w:szCs w:val="32"/>
        </w:rPr>
        <w:t xml:space="preserve">St Andrews Lawn Tennis Club SCIO, SC053070               </w:t>
      </w:r>
    </w:p>
    <w:p w14:paraId="2145F08C" w14:textId="77777777" w:rsidR="009817F5" w:rsidRDefault="009817F5" w:rsidP="009817F5">
      <w:pPr>
        <w:pStyle w:val="LTAChapterHeading"/>
        <w:spacing w:after="0" w:line="240" w:lineRule="auto"/>
        <w:jc w:val="center"/>
        <w:rPr>
          <w:sz w:val="32"/>
          <w:szCs w:val="32"/>
        </w:rPr>
      </w:pPr>
      <w:r>
        <w:rPr>
          <w:sz w:val="32"/>
          <w:szCs w:val="32"/>
        </w:rPr>
        <w:t>SAFEGUARDING</w:t>
      </w:r>
      <w:r w:rsidRPr="00407A10">
        <w:rPr>
          <w:sz w:val="32"/>
          <w:szCs w:val="32"/>
        </w:rPr>
        <w:t xml:space="preserve"> policy</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634787">
            <w:rPr>
              <w:highlight w:val="green"/>
            </w:rPr>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A82EB5">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C13553">
              <w:rPr>
                <w:noProof/>
                <w:webHidden/>
              </w:rPr>
              <w:t>3</w:t>
            </w:r>
            <w:r w:rsidR="00C13553">
              <w:rPr>
                <w:noProof/>
                <w:webHidden/>
              </w:rPr>
              <w:fldChar w:fldCharType="end"/>
            </w:r>
          </w:hyperlink>
        </w:p>
        <w:p w14:paraId="4285B658" w14:textId="1FA02D16" w:rsidR="00C13553" w:rsidRDefault="00A82EB5">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1EB13167" w14:textId="0DBE8FCF" w:rsidR="00C13553" w:rsidRDefault="00A82EB5">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0EC0F152" w14:textId="16578ADA" w:rsidR="00C13553" w:rsidRDefault="00A82EB5">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1AF69369" w14:textId="4F29A7AC" w:rsidR="00C13553" w:rsidRDefault="00A82EB5">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081D49A" w14:textId="222DA4B0" w:rsidR="00C13553" w:rsidRDefault="00A82EB5">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A82EB5">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48633ABB" w14:textId="7C0AB192" w:rsidR="00C13553" w:rsidRDefault="00A82EB5">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21D104B2" w14:textId="409564D3" w:rsidR="00C13553" w:rsidRDefault="00A82EB5">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6AADD9E8" w14:textId="2E5F64A8" w:rsidR="00C13553" w:rsidRDefault="00A82EB5">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2A8D90CB" w14:textId="0C5748D0" w:rsidR="00C13553" w:rsidRDefault="00A82EB5">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13F88AB9" w14:textId="0427DAF2" w:rsidR="00C13553" w:rsidRDefault="00A82EB5">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C13553">
              <w:rPr>
                <w:noProof/>
                <w:webHidden/>
              </w:rPr>
              <w:t>8</w:t>
            </w:r>
            <w:r w:rsidR="00C13553">
              <w:rPr>
                <w:noProof/>
                <w:webHidden/>
              </w:rPr>
              <w:fldChar w:fldCharType="end"/>
            </w:r>
          </w:hyperlink>
        </w:p>
        <w:p w14:paraId="40EE9FEB" w14:textId="4335C388" w:rsidR="00C13553" w:rsidRDefault="00A82EB5">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1D79C381" w14:textId="05F0F2D0" w:rsidR="00C13553" w:rsidRDefault="00A82EB5">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634DEA20" w14:textId="74658833" w:rsidR="00C13553" w:rsidRDefault="00A82EB5">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3F1BCBA8" w14:textId="29AFBF83" w:rsidR="00C13553" w:rsidRDefault="00A82EB5">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2860B371" w14:textId="69162391" w:rsidR="00C13553" w:rsidRDefault="00A82EB5">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20D0AD80" w14:textId="18B0EDA4" w:rsidR="00C13553" w:rsidRDefault="00A82EB5">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009CCADD" w14:textId="60841FE2" w:rsidR="00C13553" w:rsidRDefault="00A82EB5">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1A1F3F14" w14:textId="5992F661" w:rsidR="00C13553" w:rsidRDefault="00A82EB5">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3BC39DFC" w14:textId="38AC03DA" w:rsidR="00C13553" w:rsidRDefault="00A82EB5">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C13553">
              <w:rPr>
                <w:noProof/>
                <w:webHidden/>
              </w:rPr>
              <w:t>14</w:t>
            </w:r>
            <w:r w:rsidR="00C13553">
              <w:rPr>
                <w:noProof/>
                <w:webHidden/>
              </w:rPr>
              <w:fldChar w:fldCharType="end"/>
            </w:r>
          </w:hyperlink>
        </w:p>
        <w:p w14:paraId="5A90A8F8" w14:textId="7748226E" w:rsidR="00C13553" w:rsidRDefault="00A82EB5">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C13553">
              <w:rPr>
                <w:noProof/>
                <w:webHidden/>
              </w:rPr>
              <w:t>15</w:t>
            </w:r>
            <w:r w:rsidR="00C13553">
              <w:rPr>
                <w:noProof/>
                <w:webHidden/>
              </w:rPr>
              <w:fldChar w:fldCharType="end"/>
            </w:r>
          </w:hyperlink>
        </w:p>
        <w:p w14:paraId="7AAF2122" w14:textId="227954BF" w:rsidR="00C13553" w:rsidRDefault="00A82EB5">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C13553">
              <w:rPr>
                <w:noProof/>
                <w:webHidden/>
              </w:rPr>
              <w:t>16</w:t>
            </w:r>
            <w:r w:rsidR="00C13553">
              <w:rPr>
                <w:noProof/>
                <w:webHidden/>
              </w:rPr>
              <w:fldChar w:fldCharType="end"/>
            </w:r>
          </w:hyperlink>
        </w:p>
        <w:p w14:paraId="2B971CE6" w14:textId="1858E430" w:rsidR="00C13553" w:rsidRDefault="00A82EB5">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C13553">
              <w:rPr>
                <w:noProof/>
                <w:webHidden/>
              </w:rPr>
              <w:t>21</w:t>
            </w:r>
            <w:r w:rsidR="00C13553">
              <w:rPr>
                <w:noProof/>
                <w:webHidden/>
              </w:rPr>
              <w:fldChar w:fldCharType="end"/>
            </w:r>
          </w:hyperlink>
        </w:p>
        <w:p w14:paraId="5F3C6DA8" w14:textId="40D949BD" w:rsidR="00C13553" w:rsidRDefault="00A82EB5">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C13553">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71B172CA" w14:textId="77777777" w:rsidR="00C13553" w:rsidRDefault="00C13553" w:rsidP="0098115B"/>
    <w:p w14:paraId="625A96CE" w14:textId="51C939D4" w:rsidR="0098115B" w:rsidRPr="009817F5" w:rsidRDefault="0098115B" w:rsidP="0098115B">
      <w:pPr>
        <w:rPr>
          <w:highlight w:val="green"/>
        </w:rPr>
      </w:pPr>
      <w:r w:rsidRPr="009817F5">
        <w:rPr>
          <w:highlight w:val="green"/>
        </w:rPr>
        <w:t>Policy Owner: </w:t>
      </w:r>
      <w:r w:rsidR="009817F5" w:rsidRPr="009817F5">
        <w:rPr>
          <w:highlight w:val="green"/>
        </w:rPr>
        <w:t xml:space="preserve">Sarah Winter, Welfare Officer </w:t>
      </w:r>
    </w:p>
    <w:p w14:paraId="48583CF8" w14:textId="013942A4" w:rsidR="0098115B" w:rsidRPr="009817F5" w:rsidRDefault="0098115B" w:rsidP="0098115B">
      <w:pPr>
        <w:rPr>
          <w:highlight w:val="green"/>
        </w:rPr>
      </w:pPr>
      <w:r w:rsidRPr="009817F5">
        <w:rPr>
          <w:highlight w:val="green"/>
        </w:rPr>
        <w:t>Policy approved by: </w:t>
      </w:r>
      <w:r w:rsidR="009817F5" w:rsidRPr="009817F5">
        <w:rPr>
          <w:highlight w:val="green"/>
        </w:rPr>
        <w:t>Andrew Ibbetson</w:t>
      </w:r>
    </w:p>
    <w:p w14:paraId="7C27D1A7" w14:textId="2E6DDF28" w:rsidR="0098115B" w:rsidRPr="009817F5" w:rsidRDefault="0098115B" w:rsidP="0098115B">
      <w:pPr>
        <w:rPr>
          <w:highlight w:val="green"/>
        </w:rPr>
      </w:pPr>
      <w:r w:rsidRPr="009817F5">
        <w:rPr>
          <w:highlight w:val="green"/>
        </w:rPr>
        <w:t>Date Policy approved: </w:t>
      </w:r>
      <w:r w:rsidR="009817F5" w:rsidRPr="009817F5">
        <w:rPr>
          <w:highlight w:val="green"/>
        </w:rPr>
        <w:t>19 July 2024</w:t>
      </w:r>
    </w:p>
    <w:p w14:paraId="1EA2F286" w14:textId="7ACE4340" w:rsidR="0098115B" w:rsidRDefault="0098115B" w:rsidP="0098115B">
      <w:pPr>
        <w:jc w:val="both"/>
        <w:rPr>
          <w:rFonts w:cs="Arial"/>
          <w:b/>
          <w:sz w:val="24"/>
          <w:lang w:val="en-GB"/>
        </w:rPr>
      </w:pPr>
      <w:r w:rsidRPr="009817F5">
        <w:rPr>
          <w:highlight w:val="green"/>
        </w:rPr>
        <w:t>Next review Date:</w:t>
      </w:r>
      <w:r w:rsidR="009817F5" w:rsidRPr="009817F5">
        <w:rPr>
          <w:highlight w:val="green"/>
        </w:rPr>
        <w:t xml:space="preserve"> 19 July 2026</w:t>
      </w: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1F6046">
        <w:rPr>
          <w:highlight w:val="green"/>
        </w:rPr>
        <w:lastRenderedPageBreak/>
        <w:t>POLICY STATEMENT AND SCOPE</w:t>
      </w:r>
      <w:bookmarkEnd w:id="0"/>
      <w:bookmarkEnd w:id="1"/>
    </w:p>
    <w:p w14:paraId="7F9AFB55" w14:textId="77777777" w:rsidR="009817F5" w:rsidRDefault="009817F5" w:rsidP="0019129F">
      <w:pPr>
        <w:jc w:val="both"/>
        <w:rPr>
          <w:rFonts w:cs="Arial"/>
          <w:szCs w:val="22"/>
          <w:highlight w:val="yellow"/>
          <w:lang w:val="en-GB"/>
        </w:rPr>
      </w:pPr>
    </w:p>
    <w:p w14:paraId="3F4217CE" w14:textId="6A494E44" w:rsidR="0098115B" w:rsidRDefault="009817F5" w:rsidP="0019129F">
      <w:pPr>
        <w:jc w:val="both"/>
        <w:rPr>
          <w:rFonts w:cs="Arial"/>
          <w:szCs w:val="22"/>
          <w:lang w:val="en-GB"/>
        </w:rPr>
      </w:pPr>
      <w:r w:rsidRPr="009817F5">
        <w:rPr>
          <w:rFonts w:cs="Arial"/>
          <w:szCs w:val="22"/>
          <w:lang w:val="en-GB"/>
        </w:rPr>
        <w:t xml:space="preserve">St Andrews Lawn Tennis Club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9817F5">
      <w:pPr>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5DE691D" w14:textId="77777777" w:rsidR="0098115B" w:rsidRPr="0001041C" w:rsidRDefault="0098115B" w:rsidP="0019129F">
      <w:pPr>
        <w:pStyle w:val="Heading1"/>
        <w:jc w:val="both"/>
      </w:pPr>
      <w:bookmarkStart w:id="2" w:name="_Toc126140383"/>
      <w:bookmarkStart w:id="3" w:name="_Toc126140418"/>
      <w:r w:rsidRPr="001F6046">
        <w:rPr>
          <w:highlight w:val="green"/>
        </w:rPr>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1F6046">
        <w:rPr>
          <w:highlight w:val="green"/>
        </w:rPr>
        <w:t>RESPONSIBILITY FOR SAFEGUARDING</w:t>
      </w:r>
      <w:bookmarkEnd w:id="4"/>
      <w:bookmarkEnd w:id="5"/>
      <w:r w:rsidRPr="00C13553">
        <w:t xml:space="preserve"> </w:t>
      </w:r>
    </w:p>
    <w:p w14:paraId="13AFBAC8" w14:textId="0BB1AA07" w:rsidR="0098115B" w:rsidRPr="000E1D5D" w:rsidRDefault="0098115B" w:rsidP="0019129F">
      <w:pPr>
        <w:tabs>
          <w:tab w:val="left" w:pos="840"/>
        </w:tabs>
        <w:jc w:val="both"/>
        <w:rPr>
          <w:rFonts w:cs="Arial"/>
          <w:bCs/>
          <w:szCs w:val="22"/>
        </w:rPr>
      </w:pPr>
      <w:r w:rsidRPr="000E1D5D">
        <w:rPr>
          <w:rFonts w:cs="Arial"/>
          <w:bCs/>
          <w:szCs w:val="22"/>
        </w:rPr>
        <w:lastRenderedPageBreak/>
        <w:t>The</w:t>
      </w:r>
      <w:r w:rsidR="009817F5">
        <w:rPr>
          <w:rFonts w:cs="Arial"/>
          <w:bCs/>
          <w:szCs w:val="22"/>
        </w:rPr>
        <w:t xml:space="preserve"> Committee</w:t>
      </w:r>
      <w:r w:rsidRPr="000E1D5D">
        <w:rPr>
          <w:rFonts w:cs="Arial"/>
          <w:bCs/>
          <w:szCs w:val="22"/>
        </w:rPr>
        <w:t xml:space="preserve"> have overall accountability for this policy and its implementation.</w:t>
      </w:r>
    </w:p>
    <w:p w14:paraId="579D4C5E" w14:textId="77777777" w:rsidR="0098115B" w:rsidRDefault="0098115B" w:rsidP="0019129F">
      <w:pPr>
        <w:tabs>
          <w:tab w:val="left" w:pos="840"/>
        </w:tabs>
        <w:jc w:val="both"/>
      </w:pPr>
    </w:p>
    <w:p w14:paraId="48879774" w14:textId="25D8474D"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009817F5">
        <w:t>Committee</w:t>
      </w:r>
      <w:r>
        <w:t>.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5C538E90" w14:textId="65813CAC" w:rsidR="0098115B" w:rsidRDefault="0098115B" w:rsidP="0019129F">
      <w:pPr>
        <w:tabs>
          <w:tab w:val="left" w:pos="840"/>
        </w:tabs>
        <w:jc w:val="both"/>
      </w:pPr>
      <w:r>
        <w:t>The Welfare Officer is:</w:t>
      </w:r>
    </w:p>
    <w:p w14:paraId="162F2099" w14:textId="386C6D33" w:rsidR="009817F5" w:rsidRDefault="009817F5" w:rsidP="0019129F">
      <w:pPr>
        <w:tabs>
          <w:tab w:val="left" w:pos="840"/>
        </w:tabs>
        <w:jc w:val="both"/>
      </w:pPr>
      <w:r>
        <w:t>Sarah Winter</w:t>
      </w:r>
    </w:p>
    <w:p w14:paraId="28096C43" w14:textId="2A625210" w:rsidR="009817F5" w:rsidRDefault="009817F5" w:rsidP="0019129F">
      <w:pPr>
        <w:tabs>
          <w:tab w:val="left" w:pos="840"/>
        </w:tabs>
        <w:jc w:val="both"/>
      </w:pPr>
      <w:r>
        <w:t>07732680144</w:t>
      </w:r>
    </w:p>
    <w:p w14:paraId="3B2E46BA" w14:textId="18D1D86A" w:rsidR="009817F5" w:rsidRPr="009817F5" w:rsidRDefault="009817F5" w:rsidP="0019129F">
      <w:pPr>
        <w:tabs>
          <w:tab w:val="left" w:pos="840"/>
        </w:tabs>
        <w:jc w:val="both"/>
      </w:pPr>
      <w:r>
        <w:t>wintsj@gmail.com</w:t>
      </w:r>
    </w:p>
    <w:p w14:paraId="48A51B96" w14:textId="77777777" w:rsidR="0098115B" w:rsidRDefault="0098115B" w:rsidP="0019129F">
      <w:pPr>
        <w:tabs>
          <w:tab w:val="left" w:pos="840"/>
        </w:tabs>
        <w:jc w:val="both"/>
      </w:pPr>
    </w:p>
    <w:p w14:paraId="1AD027A7" w14:textId="77777777" w:rsidR="009817F5" w:rsidRDefault="009817F5"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51C83DB1" w14:textId="77777777" w:rsidR="009817F5" w:rsidRDefault="009817F5" w:rsidP="009817F5">
      <w:pPr>
        <w:tabs>
          <w:tab w:val="left" w:pos="840"/>
        </w:tabs>
        <w:jc w:val="both"/>
      </w:pPr>
      <w:r>
        <w:t xml:space="preserve">You can report a concern directly to the LTA </w:t>
      </w:r>
      <w:hyperlink r:id="rId8" w:history="1">
        <w:r>
          <w:rPr>
            <w:rStyle w:val="Hyperlink"/>
          </w:rPr>
          <w:t>Register a Concern</w:t>
        </w:r>
      </w:hyperlink>
    </w:p>
    <w:p w14:paraId="0557ED7C" w14:textId="77777777" w:rsidR="009817F5" w:rsidRDefault="009817F5" w:rsidP="0019129F">
      <w:pPr>
        <w:tabs>
          <w:tab w:val="left" w:pos="840"/>
        </w:tabs>
        <w:jc w:val="both"/>
      </w:pPr>
    </w:p>
    <w:p w14:paraId="689DC35E" w14:textId="627032C0" w:rsidR="0098115B" w:rsidRDefault="0098115B" w:rsidP="0019129F">
      <w:pPr>
        <w:tabs>
          <w:tab w:val="left" w:pos="840"/>
        </w:tabs>
        <w:jc w:val="both"/>
        <w:rPr>
          <w:rStyle w:val="Hyperlink"/>
          <w:rFonts w:cs="Arial"/>
          <w:bCs/>
          <w:szCs w:val="22"/>
        </w:rPr>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9" w:history="1">
        <w:r w:rsidRPr="0025789A">
          <w:rPr>
            <w:rStyle w:val="Hyperlink"/>
            <w:rFonts w:cs="Arial"/>
            <w:bCs/>
            <w:szCs w:val="22"/>
          </w:rPr>
          <w:t>https://safeguardingconcern.lta.org.uk/</w:t>
        </w:r>
      </w:hyperlink>
    </w:p>
    <w:p w14:paraId="0A843CFA" w14:textId="77777777" w:rsidR="009817F5" w:rsidRDefault="009817F5" w:rsidP="0019129F">
      <w:pPr>
        <w:tabs>
          <w:tab w:val="left" w:pos="840"/>
        </w:tabs>
        <w:jc w:val="both"/>
        <w:rPr>
          <w:rStyle w:val="Hyperlink"/>
          <w:rFonts w:cs="Arial"/>
          <w:bCs/>
          <w:szCs w:val="22"/>
        </w:rPr>
      </w:pPr>
    </w:p>
    <w:p w14:paraId="5C51E66C" w14:textId="77777777" w:rsidR="009817F5" w:rsidRPr="004F4E23" w:rsidRDefault="009817F5" w:rsidP="0019129F">
      <w:pPr>
        <w:tabs>
          <w:tab w:val="left" w:pos="840"/>
        </w:tabs>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3630AC02"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 xml:space="preserve">Children Services </w:t>
      </w:r>
      <w:r w:rsidR="009817F5" w:rsidRPr="009817F5">
        <w:rPr>
          <w:rStyle w:val="eop"/>
          <w:rFonts w:ascii="Arial" w:hAnsi="Arial" w:cs="Arial"/>
          <w:color w:val="000000" w:themeColor="text1"/>
          <w:sz w:val="22"/>
          <w:szCs w:val="22"/>
        </w:rPr>
        <w:t>03451 55 15 03, from Monday to Friday, 9am to 5pm. Out-with these hours, please call them on 03451 55 00 99</w:t>
      </w:r>
    </w:p>
    <w:p w14:paraId="42E55463" w14:textId="29F1E813"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00A82EB5" w:rsidRPr="00A82EB5">
        <w:rPr>
          <w:rStyle w:val="eop"/>
          <w:rFonts w:ascii="Arial" w:hAnsi="Arial" w:cs="Arial"/>
          <w:color w:val="000000" w:themeColor="text1"/>
          <w:sz w:val="22"/>
          <w:szCs w:val="22"/>
        </w:rPr>
        <w:t>03451 550099</w:t>
      </w:r>
    </w:p>
    <w:p w14:paraId="5FD426FC" w14:textId="77777777" w:rsidR="00A82EB5" w:rsidRDefault="00A82EB5" w:rsidP="0019129F">
      <w:pPr>
        <w:jc w:val="both"/>
      </w:pPr>
    </w:p>
    <w:p w14:paraId="0F2DAFB2" w14:textId="4060E23D"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6" w:name="_Toc126140385"/>
      <w:bookmarkStart w:id="7" w:name="_Toc126140420"/>
      <w:r w:rsidRPr="001F6046">
        <w:rPr>
          <w:highlight w:val="green"/>
        </w:rPr>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8" w:name="_Toc126140386"/>
      <w:bookmarkStart w:id="9" w:name="_Toc126140421"/>
      <w:r w:rsidRPr="00DA0113">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lastRenderedPageBreak/>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004E2991" w:rsidRPr="00DB3B20">
              <w:rPr>
                <w:rFonts w:cs="Poppins"/>
              </w:rPr>
              <w:t>and</w:t>
            </w:r>
            <w:r w:rsidRPr="00DB3B20">
              <w:rPr>
                <w:rFonts w:cs="Poppins"/>
              </w:rPr>
              <w:t>;</w:t>
            </w:r>
            <w:proofErr w:type="gramEnd"/>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proofErr w:type="gramStart"/>
            <w:r w:rsidR="004E2991" w:rsidRPr="00DB3B20">
              <w:rPr>
                <w:rFonts w:cs="Poppins"/>
              </w:rPr>
              <w:t>and</w:t>
            </w:r>
            <w:r w:rsidRPr="00DB3B20">
              <w:rPr>
                <w:rFonts w:cs="Poppins"/>
              </w:rPr>
              <w:t>;</w:t>
            </w:r>
            <w:proofErr w:type="gramEnd"/>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proofErr w:type="gramStart"/>
            <w:r w:rsidR="004E2991" w:rsidRPr="00DB3B20">
              <w:rPr>
                <w:rFonts w:cs="Poppins"/>
              </w:rPr>
              <w:t>and</w:t>
            </w:r>
            <w:r w:rsidRPr="00DB3B20">
              <w:rPr>
                <w:rFonts w:cs="Poppins"/>
              </w:rPr>
              <w:t>;</w:t>
            </w:r>
            <w:proofErr w:type="gramEnd"/>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004E2991" w:rsidRPr="00DB3B20">
              <w:rPr>
                <w:rFonts w:cs="Poppins"/>
              </w:rPr>
              <w:t>and</w:t>
            </w:r>
            <w:r w:rsidRPr="00DB3B20">
              <w:rPr>
                <w:rFonts w:cs="Poppins"/>
              </w:rPr>
              <w:t>;</w:t>
            </w:r>
            <w:proofErr w:type="gramEnd"/>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1F6046">
        <w:rPr>
          <w:highlight w:val="green"/>
        </w:rPr>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1F6046">
        <w:rPr>
          <w:highlight w:val="green"/>
        </w:rPr>
        <w:t>TRAINING</w:t>
      </w:r>
      <w:bookmarkEnd w:id="12"/>
      <w:bookmarkEnd w:id="13"/>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w:t>
      </w:r>
      <w:proofErr w:type="gramStart"/>
      <w:r>
        <w:t>Accreditation</w:t>
      </w:r>
      <w:proofErr w:type="gramEnd"/>
      <w:r>
        <w:t xml:space="preserve"> requirements or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1F6046">
        <w:rPr>
          <w:highlight w:val="green"/>
        </w:rPr>
        <w:t>Code of Conduct</w:t>
      </w:r>
    </w:p>
    <w:p w14:paraId="1FF38D45" w14:textId="38161F02"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10" w:history="1">
        <w:r>
          <w:rPr>
            <w:rStyle w:val="Hyperlink"/>
          </w:rPr>
          <w:t>https://www.lta.org.uk/about-us/what-we-do/governance-and-structure/rules-regulations/</w:t>
        </w:r>
      </w:hyperlink>
      <w:r>
        <w:t>), and at all times act in accordance with them.  Breaches of the law, this Policy and/or the LTA Code of Conduct may result in criminal and/or disciplinary action being taken</w:t>
      </w:r>
      <w:r w:rsidR="00A82EB5">
        <w:t>.</w:t>
      </w:r>
    </w:p>
    <w:p w14:paraId="5D7F62F0" w14:textId="77777777" w:rsidR="0098115B" w:rsidRDefault="0098115B" w:rsidP="0019129F">
      <w:pPr>
        <w:pStyle w:val="Heading1"/>
        <w:jc w:val="both"/>
      </w:pPr>
      <w:bookmarkStart w:id="14" w:name="_Toc126140390"/>
      <w:bookmarkStart w:id="15" w:name="_Toc126140425"/>
      <w:r w:rsidRPr="001F6046">
        <w:rPr>
          <w:highlight w:val="green"/>
        </w:rPr>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lastRenderedPageBreak/>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 xml:space="preserve">arents </w:t>
      </w:r>
      <w:proofErr w:type="gramStart"/>
      <w:r w:rsidRPr="0001041C">
        <w:t>return</w:t>
      </w:r>
      <w:proofErr w:type="gramEnd"/>
      <w:r w:rsidRPr="0001041C">
        <w:t xml:space="preserve">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1F6046">
        <w:rPr>
          <w:rStyle w:val="A10"/>
          <w:rFonts w:cs="Times New Roman"/>
          <w:b w:val="0"/>
          <w:bCs w:val="0"/>
          <w:color w:val="1A7BC0"/>
          <w:szCs w:val="32"/>
          <w:highlight w:val="green"/>
        </w:rPr>
        <w:t>SUPERVISING CHILDREN</w:t>
      </w:r>
      <w:bookmarkEnd w:id="16"/>
      <w:bookmarkEnd w:id="17"/>
    </w:p>
    <w:p w14:paraId="63DFE77A" w14:textId="72A5CBC1" w:rsidR="0098115B" w:rsidRPr="004E2991" w:rsidRDefault="0098115B" w:rsidP="0019129F">
      <w:pPr>
        <w:jc w:val="both"/>
      </w:pPr>
      <w:r w:rsidRPr="0001041C">
        <w:t xml:space="preserve">Children under the age </w:t>
      </w:r>
      <w:r w:rsidRPr="004E2991">
        <w:t xml:space="preserve">of </w:t>
      </w:r>
      <w:r w:rsidR="00A82EB5">
        <w:t>13</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5D7C1759"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A82EB5">
        <w:t>13</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w:t>
      </w:r>
      <w:proofErr w:type="gramStart"/>
      <w:r w:rsidRPr="0001041C">
        <w:t>has to</w:t>
      </w:r>
      <w:proofErr w:type="gramEnd"/>
      <w:r w:rsidRPr="0001041C">
        <w:t xml:space="preserve">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1F6046">
        <w:rPr>
          <w:highlight w:val="green"/>
        </w:rPr>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w:t>
      </w:r>
      <w:r>
        <w:lastRenderedPageBreak/>
        <w:t>position of trust and a child under 18 years old will be formally reported as it may be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1F6046">
        <w:rPr>
          <w:highlight w:val="green"/>
        </w:rPr>
        <w:t>INCREASED VULNERABILITY TO ABUSE</w:t>
      </w:r>
      <w:bookmarkEnd w:id="23"/>
      <w:bookmarkEnd w:id="24"/>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lastRenderedPageBreak/>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762458E5" w14:textId="77777777"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5" w:name="_Toc126140395"/>
      <w:bookmarkStart w:id="26" w:name="_Toc126140430"/>
      <w:r w:rsidRPr="002670D2">
        <w:rPr>
          <w:highlight w:val="green"/>
        </w:rPr>
        <w:t>LOW LEVEL CONCERNS</w:t>
      </w:r>
      <w:bookmarkEnd w:id="25"/>
      <w:bookmarkEnd w:id="26"/>
    </w:p>
    <w:p w14:paraId="3DABBDDB" w14:textId="77777777" w:rsidR="0098115B" w:rsidRDefault="0098115B" w:rsidP="0019129F">
      <w:pPr>
        <w:jc w:val="both"/>
      </w:pPr>
      <w:r w:rsidRPr="00E942C6">
        <w:t xml:space="preserve">A </w:t>
      </w:r>
      <w:proofErr w:type="gramStart"/>
      <w:r w:rsidRPr="00E942C6">
        <w:t>low level</w:t>
      </w:r>
      <w:proofErr w:type="gramEnd"/>
      <w:r w:rsidRPr="00E942C6">
        <w:t xml:space="preserve">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lastRenderedPageBreak/>
        <w:t xml:space="preserve">Upon receipt by the LTA, low level concerns will be triaged and managed through the LTA Safeguarding Regulations, which form part of the LTA Disciplinary Code available here: </w:t>
      </w:r>
      <w:hyperlink r:id="rId11"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2"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2670D2">
        <w:rPr>
          <w:highlight w:val="green"/>
        </w:rPr>
        <w:t>RESPONDING TO A DISCLOSURE OF ABUSE</w:t>
      </w:r>
      <w:bookmarkEnd w:id="29"/>
      <w:bookmarkEnd w:id="30"/>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 xml:space="preserve">immediate needs are </w:t>
      </w:r>
      <w:proofErr w:type="gramStart"/>
      <w:r w:rsidRPr="00454B29">
        <w:t>met</w:t>
      </w:r>
      <w:proofErr w:type="gramEnd"/>
      <w:r w:rsidRPr="00454B29">
        <w:t xml:space="preserve">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3"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4"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2670D2">
        <w:rPr>
          <w:highlight w:val="green"/>
        </w:rPr>
        <w:lastRenderedPageBreak/>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2364AA">
        <w:rPr>
          <w:highlight w:val="green"/>
        </w:rPr>
        <w:t>MENTAL CAPACITY</w:t>
      </w:r>
      <w:bookmarkEnd w:id="33"/>
      <w:bookmarkEnd w:id="34"/>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t>
      </w:r>
      <w:proofErr w:type="gramStart"/>
      <w:r w:rsidRPr="001910AE">
        <w:rPr>
          <w:rFonts w:cs="Poppins"/>
        </w:rPr>
        <w:t>whether or not</w:t>
      </w:r>
      <w:proofErr w:type="gramEnd"/>
      <w:r w:rsidRPr="001910AE">
        <w:rPr>
          <w:rFonts w:cs="Poppins"/>
        </w:rPr>
        <w:t xml:space="preserve">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w:t>
      </w:r>
      <w:proofErr w:type="gramStart"/>
      <w:r w:rsidRPr="00152B83">
        <w:rPr>
          <w:rFonts w:cs="Poppins"/>
        </w:rPr>
        <w:t>making an assessment of</w:t>
      </w:r>
      <w:proofErr w:type="gramEnd"/>
      <w:r w:rsidRPr="00152B83">
        <w:rPr>
          <w:rFonts w:cs="Poppins"/>
        </w:rPr>
        <w:t xml:space="preserve">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w:t>
      </w:r>
      <w:proofErr w:type="gramStart"/>
      <w:r w:rsidRPr="00F0258D">
        <w:rPr>
          <w:rFonts w:cs="Poppins"/>
          <w:color w:val="000000" w:themeColor="text1"/>
        </w:rPr>
        <w:t>consent</w:t>
      </w:r>
      <w:proofErr w:type="gramEnd"/>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lastRenderedPageBreak/>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Default="0098115B" w:rsidP="0019129F">
      <w:pPr>
        <w:pStyle w:val="Heading1"/>
        <w:jc w:val="both"/>
      </w:pPr>
      <w:bookmarkStart w:id="35" w:name="_Toc126140400"/>
      <w:bookmarkStart w:id="36" w:name="_Toc126140435"/>
      <w:r w:rsidRPr="002670D2">
        <w:rPr>
          <w:highlight w:val="green"/>
        </w:rPr>
        <w:t>CONFIDENTIALITY</w:t>
      </w:r>
      <w:bookmarkEnd w:id="35"/>
      <w:bookmarkEnd w:id="36"/>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proofErr w:type="gramStart"/>
      <w:r>
        <w:t>need to know</w:t>
      </w:r>
      <w:proofErr w:type="gramEnd"/>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 xml:space="preserve">There may be circumstances where an individual raising a safeguarding concern or allegation does not wish to be named.  It is not possible to assure anonymity, as in some circumstances individuals will need to be named (for example, where it is necessary </w:t>
      </w:r>
      <w:proofErr w:type="gramStart"/>
      <w:r>
        <w:t>in order to</w:t>
      </w:r>
      <w:proofErr w:type="gramEnd"/>
      <w:r>
        <w:t xml:space="preserve">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2670D2">
        <w:rPr>
          <w:highlight w:val="green"/>
        </w:rPr>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1041C">
        <w:t>up-to-date</w:t>
      </w:r>
      <w:proofErr w:type="gramEnd"/>
      <w:r w:rsidRPr="0001041C">
        <w:t xml:space="preserv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5"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 xml:space="preserve">what has been </w:t>
      </w:r>
      <w:proofErr w:type="gramStart"/>
      <w:r w:rsidRPr="00297AC0">
        <w:t>shared;</w:t>
      </w:r>
      <w:proofErr w:type="gramEnd"/>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lastRenderedPageBreak/>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6"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7"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2364AA">
        <w:rPr>
          <w:rFonts w:cs="Arial"/>
          <w:b/>
          <w:sz w:val="24"/>
          <w:highlight w:val="green"/>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364AA">
        <w:rPr>
          <w:highlight w:val="green"/>
        </w:rPr>
        <w:t>AP</w:t>
      </w:r>
      <w:r w:rsidRPr="002364AA">
        <w:rPr>
          <w:rStyle w:val="Heading1Char"/>
          <w:highlight w:val="green"/>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2364AA">
        <w:rPr>
          <w:highlight w:val="green"/>
        </w:rPr>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364AA">
        <w:rPr>
          <w:highlight w:val="green"/>
        </w:rPr>
        <w:t>A</w:t>
      </w:r>
      <w:r w:rsidRPr="002364AA">
        <w:rPr>
          <w:rStyle w:val="Heading1Char"/>
          <w:highlight w:val="green"/>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2364AA">
        <w:rPr>
          <w:highlight w:val="green"/>
        </w:rPr>
        <w:lastRenderedPageBreak/>
        <w:t xml:space="preserve">APPENDIX </w:t>
      </w:r>
      <w:r w:rsidR="004E2991" w:rsidRPr="002364AA">
        <w:rPr>
          <w:highlight w:val="green"/>
        </w:rPr>
        <w:t>C</w:t>
      </w:r>
      <w:r w:rsidRPr="002364AA">
        <w:rPr>
          <w:highlight w:val="green"/>
        </w:rPr>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Pr="00DB3B20">
        <w:rPr>
          <w:rFonts w:cs="Poppins"/>
        </w:rPr>
        <w:t>AND;</w:t>
      </w:r>
      <w:proofErr w:type="gramEnd"/>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 xml:space="preserve">is experiencing, or at risk of, abuse or neglect, </w:t>
      </w:r>
      <w:proofErr w:type="gramStart"/>
      <w:r w:rsidRPr="00153E8E">
        <w:rPr>
          <w:rFonts w:cs="Poppins"/>
        </w:rPr>
        <w:t>AND;</w:t>
      </w:r>
      <w:proofErr w:type="gramEnd"/>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proofErr w:type="gramStart"/>
      <w:r>
        <w:rPr>
          <w:rFonts w:cs="Poppins"/>
        </w:rPr>
        <w:t>AND;</w:t>
      </w:r>
      <w:proofErr w:type="gramEnd"/>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is experiencing or is at risk of abuse or neglect, </w:t>
      </w:r>
      <w:proofErr w:type="gramStart"/>
      <w:r w:rsidRPr="00DB3B20">
        <w:rPr>
          <w:rFonts w:cs="Poppins"/>
        </w:rPr>
        <w:t>AND;</w:t>
      </w:r>
      <w:proofErr w:type="gramEnd"/>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Pr="00DB3B20">
        <w:rPr>
          <w:rFonts w:cs="Poppins"/>
        </w:rPr>
        <w:t>AND;</w:t>
      </w:r>
      <w:proofErr w:type="gramEnd"/>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20" w:history="1">
        <w:r w:rsidRPr="006C469C">
          <w:rPr>
            <w:rStyle w:val="Hyperlink"/>
            <w:bCs/>
          </w:rPr>
          <w:t>https://www.nspcc.org.uk/what-is-child-abuse/types-of-abuse/</w:t>
        </w:r>
      </w:hyperlink>
      <w:r>
        <w:rPr>
          <w:bCs/>
        </w:rPr>
        <w:t xml:space="preserve"> and </w:t>
      </w:r>
      <w:hyperlink r:id="rId21"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737CEC">
        <w:rPr>
          <w:szCs w:val="20"/>
        </w:rPr>
        <w:t>consented, or</w:t>
      </w:r>
      <w:proofErr w:type="gramEnd"/>
      <w:r w:rsidRPr="00737CEC">
        <w:rPr>
          <w:szCs w:val="20"/>
        </w:rPr>
        <w:t xml:space="preserve">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1041C">
        <w:rPr>
          <w:rFonts w:cs="Arial"/>
          <w:szCs w:val="22"/>
          <w:lang w:val="en-GB" w:eastAsia="en-GB"/>
        </w:rPr>
        <w:t>through the use of</w:t>
      </w:r>
      <w:proofErr w:type="gramEnd"/>
      <w:r w:rsidRPr="0001041C">
        <w:rPr>
          <w:rFonts w:cs="Arial"/>
          <w:szCs w:val="22"/>
          <w:lang w:val="en-GB" w:eastAsia="en-GB"/>
        </w:rPr>
        <w:t xml:space="preserve">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 xml:space="preserve">Exposure to domestic abuse is child abuse. Children can be directly involved in incidents of domestic </w:t>
      </w:r>
      <w:proofErr w:type="gramStart"/>
      <w:r>
        <w:t>abuse</w:t>
      </w:r>
      <w:proofErr w:type="gramEnd"/>
      <w:r>
        <w:t xml:space="preserv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 xml:space="preserve">Abuse or bullying because of discrimination occurs when motivated by a prejudice against certain people or groups of people. This may be because of an </w:t>
      </w:r>
      <w:r w:rsidRPr="00B81E79">
        <w:rPr>
          <w:rFonts w:cs="Arial"/>
          <w:szCs w:val="22"/>
          <w:lang w:val="en-GB" w:eastAsia="en-GB"/>
        </w:rPr>
        <w:lastRenderedPageBreak/>
        <w:t>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w:t>
      </w:r>
      <w:proofErr w:type="gramStart"/>
      <w:r w:rsidRPr="00737CEC">
        <w:rPr>
          <w:szCs w:val="20"/>
        </w:rPr>
        <w:t>as a result of</w:t>
      </w:r>
      <w:proofErr w:type="gramEnd"/>
      <w:r w:rsidRPr="00737CEC">
        <w:rPr>
          <w:szCs w:val="20"/>
        </w:rPr>
        <w:t xml:space="preserve"> the structure, policies, processes and practices within an </w:t>
      </w:r>
      <w:proofErr w:type="spellStart"/>
      <w:r w:rsidRPr="00737CEC">
        <w:rPr>
          <w:szCs w:val="20"/>
        </w:rPr>
        <w:t>organisation</w:t>
      </w:r>
      <w:proofErr w:type="spell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w:t>
      </w:r>
      <w:proofErr w:type="gramStart"/>
      <w:r>
        <w:t>children</w:t>
      </w:r>
      <w:proofErr w:type="gramEnd"/>
      <w:r>
        <w:t xml:space="preserve">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 xml:space="preserve">County line gangs pose a significant threat to children upon whom they </w:t>
      </w:r>
      <w:proofErr w:type="gramStart"/>
      <w:r w:rsidRPr="00B81E79">
        <w:rPr>
          <w:rFonts w:cs="Arial"/>
          <w:szCs w:val="22"/>
          <w:lang w:val="en-GB" w:eastAsia="en-GB"/>
        </w:rPr>
        <w:t>rely</w:t>
      </w:r>
      <w:proofErr w:type="gramEnd"/>
      <w:r w:rsidRPr="00B81E79">
        <w:rPr>
          <w:rFonts w:cs="Arial"/>
          <w:szCs w:val="22"/>
          <w:lang w:val="en-GB" w:eastAsia="en-GB"/>
        </w:rPr>
        <w:t xml:space="preserve">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lastRenderedPageBreak/>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2364AA">
        <w:rPr>
          <w:highlight w:val="green"/>
        </w:rPr>
        <w:lastRenderedPageBreak/>
        <w:t xml:space="preserve">APPENDIX </w:t>
      </w:r>
      <w:r w:rsidR="00C13553" w:rsidRPr="002364AA">
        <w:rPr>
          <w:highlight w:val="green"/>
        </w:rPr>
        <w:t>D</w:t>
      </w:r>
      <w:r w:rsidRPr="002364AA">
        <w:rPr>
          <w:highlight w:val="green"/>
        </w:rPr>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2364AA">
        <w:rPr>
          <w:highlight w:val="green"/>
        </w:rPr>
        <w:lastRenderedPageBreak/>
        <w:t xml:space="preserve">APPENDIX </w:t>
      </w:r>
      <w:r w:rsidR="004E2991" w:rsidRPr="002364AA">
        <w:rPr>
          <w:highlight w:val="green"/>
        </w:rPr>
        <w:t>E</w:t>
      </w:r>
      <w:r w:rsidRPr="002364AA">
        <w:rPr>
          <w:highlight w:val="green"/>
        </w:rPr>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A82EB5" w:rsidP="0019129F">
      <w:pPr>
        <w:jc w:val="both"/>
        <w:rPr>
          <w:rFonts w:cs="Arial"/>
          <w:color w:val="0000FF"/>
          <w:szCs w:val="22"/>
          <w:lang w:val="en-GB" w:eastAsia="en-GB"/>
        </w:rPr>
      </w:pPr>
      <w:hyperlink r:id="rId22" w:history="1">
        <w:r w:rsidR="0098115B"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lastRenderedPageBreak/>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A82EB5" w:rsidP="0019129F">
      <w:pPr>
        <w:jc w:val="both"/>
      </w:pPr>
      <w:hyperlink r:id="rId23" w:tooltip="help@nspcc.org.uk" w:history="1">
        <w:r w:rsidR="0098115B" w:rsidRPr="00AD749E">
          <w:rPr>
            <w:rStyle w:val="Hyperlink"/>
          </w:rPr>
          <w:t>help@nspcc.org.uk</w:t>
        </w:r>
      </w:hyperlink>
    </w:p>
    <w:p w14:paraId="0E8A31E6" w14:textId="77777777" w:rsidR="0098115B" w:rsidRPr="00AD749E" w:rsidRDefault="00A82EB5" w:rsidP="0019129F">
      <w:pPr>
        <w:jc w:val="both"/>
      </w:pPr>
      <w:hyperlink r:id="rId24"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5"/>
      <w:footerReference w:type="default" r:id="rId26"/>
      <w:footerReference w:type="first" r:id="rId27"/>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3C56" w14:textId="77777777" w:rsidR="0098115B" w:rsidRDefault="0098115B">
      <w:r>
        <w:separator/>
      </w:r>
    </w:p>
  </w:endnote>
  <w:endnote w:type="continuationSeparator" w:id="0">
    <w:p w14:paraId="298C42F9" w14:textId="77777777" w:rsidR="0098115B" w:rsidRDefault="0098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Helvetica 55 Roman"/>
    <w:charset w:val="00"/>
    <w:family w:val="auto"/>
    <w:pitch w:val="variable"/>
    <w:sig w:usb0="E00002FF" w:usb1="5000785B" w:usb2="00000000" w:usb3="00000000" w:csb0="0000019F" w:csb1="00000000"/>
  </w:font>
  <w:font w:name="Helvetica Neue">
    <w:altName w:val="Helvetica Neue"/>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3CE11814"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5521F" w14:textId="77777777" w:rsidR="0098115B" w:rsidRDefault="0098115B">
      <w:r>
        <w:separator/>
      </w:r>
    </w:p>
  </w:footnote>
  <w:footnote w:type="continuationSeparator" w:id="0">
    <w:p w14:paraId="52482444" w14:textId="77777777" w:rsidR="0098115B" w:rsidRDefault="0098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732F1"/>
    <w:rsid w:val="0019129F"/>
    <w:rsid w:val="001C6B54"/>
    <w:rsid w:val="001F6046"/>
    <w:rsid w:val="002364AA"/>
    <w:rsid w:val="002670D2"/>
    <w:rsid w:val="003B352C"/>
    <w:rsid w:val="003E2EF3"/>
    <w:rsid w:val="003F34DD"/>
    <w:rsid w:val="004E2991"/>
    <w:rsid w:val="00634787"/>
    <w:rsid w:val="00652A81"/>
    <w:rsid w:val="00692C43"/>
    <w:rsid w:val="006A667C"/>
    <w:rsid w:val="006E1A59"/>
    <w:rsid w:val="006F52E4"/>
    <w:rsid w:val="0071280A"/>
    <w:rsid w:val="00721A88"/>
    <w:rsid w:val="007314A1"/>
    <w:rsid w:val="007318C9"/>
    <w:rsid w:val="00812D4E"/>
    <w:rsid w:val="00867D2A"/>
    <w:rsid w:val="008C1811"/>
    <w:rsid w:val="008F59A9"/>
    <w:rsid w:val="0091337D"/>
    <w:rsid w:val="0098115B"/>
    <w:rsid w:val="009817F5"/>
    <w:rsid w:val="009950C0"/>
    <w:rsid w:val="009E463A"/>
    <w:rsid w:val="00A73CC2"/>
    <w:rsid w:val="00A82EB5"/>
    <w:rsid w:val="00AA7905"/>
    <w:rsid w:val="00AC13ED"/>
    <w:rsid w:val="00AE7A34"/>
    <w:rsid w:val="00B82C2F"/>
    <w:rsid w:val="00B85D1C"/>
    <w:rsid w:val="00C07D86"/>
    <w:rsid w:val="00C13553"/>
    <w:rsid w:val="00C20C8B"/>
    <w:rsid w:val="00C943B7"/>
    <w:rsid w:val="00CB15F8"/>
    <w:rsid w:val="00CB70B0"/>
    <w:rsid w:val="00CC550C"/>
    <w:rsid w:val="00CE3632"/>
    <w:rsid w:val="00CF4A69"/>
    <w:rsid w:val="00CF576A"/>
    <w:rsid w:val="00D06D4F"/>
    <w:rsid w:val="00D82488"/>
    <w:rsid w:val="00DA6A2A"/>
    <w:rsid w:val="00DB3C54"/>
    <w:rsid w:val="00DE358A"/>
    <w:rsid w:val="00E65DDC"/>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learning.nspcc.org.uk/child-abuse-and-neglect/recognising-and-responding-to-abuse"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nncrafttrust.org/resources/types-of-harm/"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https://www.safecall.co.uk/repor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elp@nspcc.org.uk" TargetMode="External"/><Relationship Id="rId20" Type="http://schemas.openxmlformats.org/officeDocument/2006/relationships/hyperlink" Target="https://www.nspcc.org.uk/what-is-child-abuse/types-of-abu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yperlink" Target="tel:08088005000" TargetMode="External"/><Relationship Id="rId5" Type="http://schemas.openxmlformats.org/officeDocument/2006/relationships/footnotes" Target="footnote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mailto:help@nspcc.org.uk" TargetMode="External"/><Relationship Id="rId28" Type="http://schemas.openxmlformats.org/officeDocument/2006/relationships/fontTable" Target="fontTable.xml"/><Relationship Id="rId10" Type="http://schemas.openxmlformats.org/officeDocument/2006/relationships/hyperlink" Target="https://www.lta.org.uk/about-us/what-we-do/governance-and-structure/rules-regulation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afeguardingconcern.lta.org.uk/" TargetMode="External"/><Relationship Id="rId14" Type="http://schemas.openxmlformats.org/officeDocument/2006/relationships/hyperlink" Target="https://safeguardingconcern.lta.org.uk/" TargetMode="External"/><Relationship Id="rId22" Type="http://schemas.openxmlformats.org/officeDocument/2006/relationships/hyperlink" Target="mailto:help@beateatingdisorders.org.uk"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7565</Words>
  <Characters>43126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Winter, Sarah</cp:lastModifiedBy>
  <cp:revision>2</cp:revision>
  <cp:lastPrinted>1901-01-01T00:00:00Z</cp:lastPrinted>
  <dcterms:created xsi:type="dcterms:W3CDTF">2024-07-15T13:44:00Z</dcterms:created>
  <dcterms:modified xsi:type="dcterms:W3CDTF">2024-07-15T13:44:00Z</dcterms:modified>
</cp:coreProperties>
</file>